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A50BE" w14:textId="4E0129EB" w:rsidR="00CC7988" w:rsidRPr="00A96688" w:rsidRDefault="00EA4830" w:rsidP="00CC798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Ypsilanti Farmers Markets &amp; Mobile Farm Stand</w:t>
      </w:r>
    </w:p>
    <w:p w14:paraId="28383A8E" w14:textId="77777777" w:rsidR="00CC7988" w:rsidRPr="00CC7988" w:rsidRDefault="00CC7988" w:rsidP="00CC7988">
      <w:pPr>
        <w:jc w:val="center"/>
        <w:rPr>
          <w:rFonts w:ascii="Garamond" w:hAnsi="Garamond"/>
        </w:rPr>
      </w:pPr>
    </w:p>
    <w:p w14:paraId="102B0F8A" w14:textId="65067C93" w:rsidR="00CC7988" w:rsidRDefault="00CC7988" w:rsidP="00CC7988">
      <w:pPr>
        <w:jc w:val="center"/>
        <w:rPr>
          <w:rFonts w:ascii="Garamond" w:hAnsi="Garamond"/>
          <w:b/>
        </w:rPr>
      </w:pPr>
      <w:r w:rsidRPr="00CC7988">
        <w:rPr>
          <w:rFonts w:ascii="Garamond" w:hAnsi="Garamond"/>
          <w:b/>
        </w:rPr>
        <w:t>Evaluation Plan</w:t>
      </w:r>
    </w:p>
    <w:p w14:paraId="5EFFCC37" w14:textId="77777777" w:rsidR="00CC7988" w:rsidRDefault="00CC7988" w:rsidP="00CC7988">
      <w:pPr>
        <w:jc w:val="center"/>
        <w:rPr>
          <w:rFonts w:ascii="Garamond" w:hAnsi="Garamond"/>
          <w:b/>
        </w:rPr>
      </w:pPr>
    </w:p>
    <w:p w14:paraId="164A44D5" w14:textId="77777777" w:rsidR="00A46F27" w:rsidRDefault="00A46F27" w:rsidP="00CC798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OVERVIEW:</w:t>
      </w:r>
    </w:p>
    <w:p w14:paraId="3A3F539B" w14:textId="77777777" w:rsidR="00A46F27" w:rsidRDefault="00A46F27" w:rsidP="00CC7988">
      <w:pPr>
        <w:jc w:val="center"/>
        <w:rPr>
          <w:rFonts w:ascii="Garamond" w:hAnsi="Garamond"/>
          <w:b/>
        </w:rPr>
      </w:pPr>
    </w:p>
    <w:p w14:paraId="38DD6CBB" w14:textId="7D1B731C" w:rsidR="00D70BD1" w:rsidRDefault="00EA4830" w:rsidP="00CC7988">
      <w:pPr>
        <w:rPr>
          <w:rFonts w:ascii="Garamond" w:hAnsi="Garamond"/>
        </w:rPr>
      </w:pPr>
      <w:r>
        <w:rPr>
          <w:rFonts w:ascii="Garamond" w:hAnsi="Garamond"/>
        </w:rPr>
        <w:t xml:space="preserve">The Ypsilanti Farmers Markets aim to increase access to healthy, affordable local food, while supporting local vendor entrepreneurs, and positively contributing to the revitalization of </w:t>
      </w:r>
    </w:p>
    <w:p w14:paraId="0E9B7671" w14:textId="77777777" w:rsidR="00EA4830" w:rsidRDefault="00EA4830" w:rsidP="00CC7988">
      <w:pPr>
        <w:rPr>
          <w:rFonts w:ascii="Garamond" w:hAnsi="Garamond"/>
        </w:rPr>
      </w:pPr>
    </w:p>
    <w:p w14:paraId="21A113E8" w14:textId="5B4AC977" w:rsidR="00D70BD1" w:rsidRDefault="00D70BD1" w:rsidP="00CC7988">
      <w:pPr>
        <w:rPr>
          <w:rFonts w:ascii="Garamond" w:hAnsi="Garamond"/>
        </w:rPr>
      </w:pPr>
      <w:r>
        <w:rPr>
          <w:rFonts w:ascii="Garamond" w:hAnsi="Garamond"/>
        </w:rPr>
        <w:t xml:space="preserve">The following evaluation plan includes both evaluation tools that will help the </w:t>
      </w:r>
      <w:r w:rsidR="00EA4830">
        <w:rPr>
          <w:rFonts w:ascii="Garamond" w:hAnsi="Garamond"/>
        </w:rPr>
        <w:t xml:space="preserve">Ypsilanti </w:t>
      </w:r>
      <w:r>
        <w:rPr>
          <w:rFonts w:ascii="Garamond" w:hAnsi="Garamond"/>
        </w:rPr>
        <w:t xml:space="preserve"> Farmers Market</w:t>
      </w:r>
      <w:r w:rsidR="00EA4830">
        <w:rPr>
          <w:rFonts w:ascii="Garamond" w:hAnsi="Garamond"/>
        </w:rPr>
        <w:t>s and Mobile Farm Stand</w:t>
      </w:r>
      <w:r>
        <w:rPr>
          <w:rFonts w:ascii="Garamond" w:hAnsi="Garamond"/>
        </w:rPr>
        <w:t xml:space="preserve"> under</w:t>
      </w:r>
      <w:r w:rsidR="00EA4830">
        <w:rPr>
          <w:rFonts w:ascii="Garamond" w:hAnsi="Garamond"/>
        </w:rPr>
        <w:t>stand their trends and impacts on customers,</w:t>
      </w:r>
      <w:r>
        <w:rPr>
          <w:rFonts w:ascii="Garamond" w:hAnsi="Garamond"/>
        </w:rPr>
        <w:t xml:space="preserve"> market vendors, </w:t>
      </w:r>
      <w:r w:rsidR="00EA4830">
        <w:rPr>
          <w:rFonts w:ascii="Garamond" w:hAnsi="Garamond"/>
        </w:rPr>
        <w:t>partners, and the community overall</w:t>
      </w:r>
      <w:r>
        <w:rPr>
          <w:rFonts w:ascii="Garamond" w:hAnsi="Garamond"/>
        </w:rPr>
        <w:t>.</w:t>
      </w:r>
    </w:p>
    <w:p w14:paraId="5F1FB065" w14:textId="77777777" w:rsidR="00EA4830" w:rsidRDefault="00EA4830" w:rsidP="00CC7988">
      <w:pPr>
        <w:rPr>
          <w:rFonts w:ascii="Garamond" w:hAnsi="Garamond"/>
        </w:rPr>
      </w:pPr>
    </w:p>
    <w:p w14:paraId="5DBF0E8C" w14:textId="4ACD1784" w:rsidR="00EA4830" w:rsidRDefault="00EA4830" w:rsidP="00CC7988">
      <w:pPr>
        <w:rPr>
          <w:rFonts w:ascii="Garamond" w:hAnsi="Garamond"/>
          <w:b/>
        </w:rPr>
      </w:pPr>
      <w:r w:rsidRPr="00EA4830">
        <w:rPr>
          <w:rFonts w:ascii="Garamond" w:hAnsi="Garamond"/>
          <w:b/>
        </w:rPr>
        <w:t>2016 Goals &amp; Targets</w:t>
      </w:r>
      <w:r>
        <w:rPr>
          <w:rFonts w:ascii="Garamond" w:hAnsi="Garamond"/>
          <w:b/>
        </w:rPr>
        <w:t>:</w:t>
      </w:r>
    </w:p>
    <w:p w14:paraId="211C03DE" w14:textId="2FE260B8" w:rsidR="00EA4830" w:rsidRPr="00EA4830" w:rsidRDefault="00EA4830" w:rsidP="00CC7988">
      <w:pPr>
        <w:rPr>
          <w:rFonts w:ascii="Garamond" w:hAnsi="Garamond"/>
          <w:b/>
        </w:rPr>
      </w:pPr>
      <w:r>
        <w:rPr>
          <w:rFonts w:ascii="Garamond" w:hAnsi="Garamond"/>
          <w:b/>
        </w:rPr>
        <w:t>(check Stranahan, Act 88)</w:t>
      </w:r>
      <w:r w:rsidR="004367E3">
        <w:rPr>
          <w:rFonts w:ascii="Garamond" w:hAnsi="Garamond"/>
          <w:b/>
        </w:rPr>
        <w:t>x</w:t>
      </w:r>
      <w:bookmarkStart w:id="0" w:name="_GoBack"/>
      <w:bookmarkEnd w:id="0"/>
    </w:p>
    <w:p w14:paraId="059DF45E" w14:textId="77777777" w:rsidR="00EA4830" w:rsidRDefault="00EA4830" w:rsidP="00CC7988">
      <w:pPr>
        <w:rPr>
          <w:rFonts w:ascii="Garamond" w:hAnsi="Garamond"/>
        </w:rPr>
      </w:pPr>
    </w:p>
    <w:p w14:paraId="01205651" w14:textId="77777777" w:rsidR="00EA4830" w:rsidRDefault="00EA4830" w:rsidP="00CC7988">
      <w:pPr>
        <w:rPr>
          <w:rFonts w:ascii="Garamond" w:hAnsi="Garamond"/>
        </w:rPr>
      </w:pPr>
    </w:p>
    <w:p w14:paraId="509C1341" w14:textId="77777777" w:rsidR="00EA4830" w:rsidRDefault="00EA4830" w:rsidP="00CC7988">
      <w:pPr>
        <w:rPr>
          <w:rFonts w:ascii="Garamond" w:hAnsi="Garamond"/>
        </w:rPr>
      </w:pPr>
    </w:p>
    <w:p w14:paraId="3B857A2E" w14:textId="77777777" w:rsidR="00D70BD1" w:rsidRDefault="00D70BD1" w:rsidP="00CC7988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455"/>
        <w:gridCol w:w="2013"/>
        <w:gridCol w:w="3258"/>
      </w:tblGrid>
      <w:tr w:rsidR="00D70BD1" w:rsidRPr="007825CE" w14:paraId="234BA1B9" w14:textId="77777777" w:rsidTr="007825CE">
        <w:tc>
          <w:tcPr>
            <w:tcW w:w="2635" w:type="dxa"/>
          </w:tcPr>
          <w:p w14:paraId="0AAD1AD2" w14:textId="77777777" w:rsidR="00D70BD1" w:rsidRPr="007825CE" w:rsidRDefault="00D70BD1" w:rsidP="00D70BD1">
            <w:pPr>
              <w:spacing w:line="276" w:lineRule="auto"/>
              <w:rPr>
                <w:rFonts w:ascii="Garamond" w:hAnsi="Garamond"/>
                <w:b/>
              </w:rPr>
            </w:pPr>
            <w:r w:rsidRPr="007825CE">
              <w:rPr>
                <w:rFonts w:ascii="Garamond" w:hAnsi="Garamond"/>
                <w:b/>
              </w:rPr>
              <w:t>Evaluation Component</w:t>
            </w:r>
          </w:p>
        </w:tc>
        <w:tc>
          <w:tcPr>
            <w:tcW w:w="2635" w:type="dxa"/>
          </w:tcPr>
          <w:p w14:paraId="2DEA912E" w14:textId="77777777" w:rsidR="00D70BD1" w:rsidRPr="007825CE" w:rsidRDefault="00D70BD1" w:rsidP="00D70BD1">
            <w:pPr>
              <w:spacing w:line="276" w:lineRule="auto"/>
              <w:rPr>
                <w:rFonts w:ascii="Garamond" w:hAnsi="Garamond"/>
                <w:b/>
              </w:rPr>
            </w:pPr>
            <w:r w:rsidRPr="007825CE">
              <w:rPr>
                <w:rFonts w:ascii="Garamond" w:hAnsi="Garamond"/>
                <w:b/>
              </w:rPr>
              <w:t>Tool to Measure</w:t>
            </w:r>
          </w:p>
        </w:tc>
        <w:tc>
          <w:tcPr>
            <w:tcW w:w="2455" w:type="dxa"/>
          </w:tcPr>
          <w:p w14:paraId="1AD04F9B" w14:textId="77777777" w:rsidR="00D70BD1" w:rsidRPr="007825CE" w:rsidRDefault="00D70BD1" w:rsidP="00D70BD1">
            <w:pPr>
              <w:spacing w:line="276" w:lineRule="auto"/>
              <w:rPr>
                <w:rFonts w:ascii="Garamond" w:hAnsi="Garamond"/>
                <w:b/>
              </w:rPr>
            </w:pPr>
            <w:r w:rsidRPr="007825CE">
              <w:rPr>
                <w:rFonts w:ascii="Garamond" w:hAnsi="Garamond"/>
                <w:b/>
              </w:rPr>
              <w:t>Frequency/Timeline</w:t>
            </w:r>
          </w:p>
        </w:tc>
        <w:tc>
          <w:tcPr>
            <w:tcW w:w="2013" w:type="dxa"/>
          </w:tcPr>
          <w:p w14:paraId="448AA222" w14:textId="77777777" w:rsidR="00D70BD1" w:rsidRPr="007825CE" w:rsidRDefault="00D70BD1" w:rsidP="00D70BD1">
            <w:pPr>
              <w:spacing w:line="276" w:lineRule="auto"/>
              <w:rPr>
                <w:rFonts w:ascii="Garamond" w:hAnsi="Garamond"/>
                <w:b/>
              </w:rPr>
            </w:pPr>
            <w:r w:rsidRPr="007825CE">
              <w:rPr>
                <w:rFonts w:ascii="Garamond" w:hAnsi="Garamond"/>
                <w:b/>
              </w:rPr>
              <w:t>Who/How Administered</w:t>
            </w:r>
          </w:p>
        </w:tc>
        <w:tc>
          <w:tcPr>
            <w:tcW w:w="3258" w:type="dxa"/>
          </w:tcPr>
          <w:p w14:paraId="157ACE5E" w14:textId="77777777" w:rsidR="00D70BD1" w:rsidRPr="007825CE" w:rsidRDefault="007825CE" w:rsidP="00D70BD1">
            <w:pPr>
              <w:spacing w:line="276" w:lineRule="auto"/>
              <w:rPr>
                <w:rFonts w:ascii="Garamond" w:hAnsi="Garamond"/>
                <w:b/>
              </w:rPr>
            </w:pPr>
            <w:r w:rsidRPr="007825CE">
              <w:rPr>
                <w:rFonts w:ascii="Garamond" w:hAnsi="Garamond"/>
                <w:b/>
              </w:rPr>
              <w:t xml:space="preserve">Output/Outcome </w:t>
            </w:r>
          </w:p>
        </w:tc>
      </w:tr>
      <w:tr w:rsidR="00D70BD1" w14:paraId="744CA331" w14:textId="77777777" w:rsidTr="007825CE">
        <w:tc>
          <w:tcPr>
            <w:tcW w:w="2635" w:type="dxa"/>
          </w:tcPr>
          <w:p w14:paraId="27880B2D" w14:textId="77777777" w:rsidR="00D70BD1" w:rsidRDefault="007825C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Customer Count</w:t>
            </w:r>
          </w:p>
        </w:tc>
        <w:tc>
          <w:tcPr>
            <w:tcW w:w="2635" w:type="dxa"/>
          </w:tcPr>
          <w:p w14:paraId="29219670" w14:textId="77777777" w:rsidR="00D70BD1" w:rsidRDefault="007825CE" w:rsidP="007825C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Use hand “clicker” and record on weekly tracking sheet</w:t>
            </w:r>
          </w:p>
        </w:tc>
        <w:tc>
          <w:tcPr>
            <w:tcW w:w="2455" w:type="dxa"/>
          </w:tcPr>
          <w:p w14:paraId="08951F68" w14:textId="77777777" w:rsidR="00D70BD1" w:rsidRDefault="007825C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Weekly, ideally before PfH begins through end of season</w:t>
            </w:r>
          </w:p>
        </w:tc>
        <w:tc>
          <w:tcPr>
            <w:tcW w:w="2013" w:type="dxa"/>
          </w:tcPr>
          <w:p w14:paraId="5BE28EA7" w14:textId="77777777" w:rsidR="00D70BD1" w:rsidRDefault="007825CE" w:rsidP="007825C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Stacie and Ed take turns counting during market days (can also use volunteers)</w:t>
            </w:r>
          </w:p>
        </w:tc>
        <w:tc>
          <w:tcPr>
            <w:tcW w:w="3258" w:type="dxa"/>
          </w:tcPr>
          <w:p w14:paraId="1D878D83" w14:textId="77777777" w:rsidR="00D70BD1" w:rsidRDefault="007825CE" w:rsidP="007825C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 attendees; Impact of PfH on market attendance</w:t>
            </w:r>
          </w:p>
        </w:tc>
      </w:tr>
      <w:tr w:rsidR="00D70BD1" w14:paraId="06FB171E" w14:textId="77777777" w:rsidTr="007825CE">
        <w:tc>
          <w:tcPr>
            <w:tcW w:w="2635" w:type="dxa"/>
          </w:tcPr>
          <w:p w14:paraId="3B1D8F61" w14:textId="77777777" w:rsidR="00D70BD1" w:rsidRDefault="007825C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Vendor Count by Product Type</w:t>
            </w:r>
          </w:p>
        </w:tc>
        <w:tc>
          <w:tcPr>
            <w:tcW w:w="2635" w:type="dxa"/>
          </w:tcPr>
          <w:p w14:paraId="78124A63" w14:textId="77777777" w:rsidR="00D70BD1" w:rsidRDefault="007825C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Weekly tracking sheet of vendor attendance; categorization of primary vendor type (produce, baked good, craft, etc)</w:t>
            </w:r>
          </w:p>
        </w:tc>
        <w:tc>
          <w:tcPr>
            <w:tcW w:w="2455" w:type="dxa"/>
          </w:tcPr>
          <w:p w14:paraId="70BCA31C" w14:textId="77777777" w:rsidR="00D70BD1" w:rsidRDefault="007825C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Weekly at beginning of each market day</w:t>
            </w:r>
          </w:p>
        </w:tc>
        <w:tc>
          <w:tcPr>
            <w:tcW w:w="2013" w:type="dxa"/>
          </w:tcPr>
          <w:p w14:paraId="0FCA5FC9" w14:textId="77777777" w:rsidR="00D70BD1" w:rsidRDefault="007825CE" w:rsidP="007825C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Ed </w:t>
            </w:r>
          </w:p>
        </w:tc>
        <w:tc>
          <w:tcPr>
            <w:tcW w:w="3258" w:type="dxa"/>
          </w:tcPr>
          <w:p w14:paraId="61C96A2C" w14:textId="77777777" w:rsidR="00D70BD1" w:rsidRDefault="007825CE" w:rsidP="007825C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Vendor product mix (can compare to what customers want and know how to adjust vendor recruitment)</w:t>
            </w:r>
          </w:p>
        </w:tc>
      </w:tr>
      <w:tr w:rsidR="00D70BD1" w14:paraId="04429058" w14:textId="77777777" w:rsidTr="007825CE">
        <w:tc>
          <w:tcPr>
            <w:tcW w:w="2635" w:type="dxa"/>
          </w:tcPr>
          <w:p w14:paraId="69B29A69" w14:textId="77777777" w:rsidR="00D70BD1" w:rsidRDefault="007825C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Weekly Sales by Currency Type</w:t>
            </w:r>
          </w:p>
        </w:tc>
        <w:tc>
          <w:tcPr>
            <w:tcW w:w="2635" w:type="dxa"/>
          </w:tcPr>
          <w:p w14:paraId="03DA970C" w14:textId="77777777" w:rsidR="00D70BD1" w:rsidRDefault="007825C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Vendor Sales Tracker</w:t>
            </w:r>
          </w:p>
        </w:tc>
        <w:tc>
          <w:tcPr>
            <w:tcW w:w="2455" w:type="dxa"/>
          </w:tcPr>
          <w:p w14:paraId="73E16639" w14:textId="77777777" w:rsidR="00D70BD1" w:rsidRDefault="007825C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Weekly, ideally before PfH begins through end of season</w:t>
            </w:r>
          </w:p>
        </w:tc>
        <w:tc>
          <w:tcPr>
            <w:tcW w:w="2013" w:type="dxa"/>
          </w:tcPr>
          <w:p w14:paraId="291B81C2" w14:textId="77777777" w:rsidR="00D70BD1" w:rsidRDefault="007825C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Sheet turned in weekly – question re: need for anonymity?  (Especially since Ed and Stacie are both vendors)</w:t>
            </w:r>
          </w:p>
        </w:tc>
        <w:tc>
          <w:tcPr>
            <w:tcW w:w="3258" w:type="dxa"/>
          </w:tcPr>
          <w:p w14:paraId="1F4DBC6E" w14:textId="77777777" w:rsidR="00D70BD1" w:rsidRDefault="007825C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 sales to small business vendors; Impact of PfH on vendor sales</w:t>
            </w:r>
          </w:p>
        </w:tc>
      </w:tr>
      <w:tr w:rsidR="00D70BD1" w14:paraId="1F6F4105" w14:textId="77777777" w:rsidTr="007825CE">
        <w:tc>
          <w:tcPr>
            <w:tcW w:w="2635" w:type="dxa"/>
          </w:tcPr>
          <w:p w14:paraId="08A84548" w14:textId="77777777" w:rsidR="00D70BD1" w:rsidRDefault="00750BC4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PfH Pre-Survey</w:t>
            </w:r>
          </w:p>
        </w:tc>
        <w:tc>
          <w:tcPr>
            <w:tcW w:w="2635" w:type="dxa"/>
          </w:tcPr>
          <w:p w14:paraId="3A768F4F" w14:textId="77777777" w:rsidR="00D70BD1" w:rsidRDefault="00750BC4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Patient Pre-Survey form</w:t>
            </w:r>
          </w:p>
        </w:tc>
        <w:tc>
          <w:tcPr>
            <w:tcW w:w="2455" w:type="dxa"/>
          </w:tcPr>
          <w:p w14:paraId="71648D5B" w14:textId="77777777" w:rsidR="00D70BD1" w:rsidRDefault="00750BC4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Upon enrollment</w:t>
            </w:r>
          </w:p>
        </w:tc>
        <w:tc>
          <w:tcPr>
            <w:tcW w:w="2013" w:type="dxa"/>
          </w:tcPr>
          <w:p w14:paraId="398FDD16" w14:textId="77777777" w:rsidR="00D70BD1" w:rsidRDefault="00750BC4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clinic setting?</w:t>
            </w:r>
          </w:p>
        </w:tc>
        <w:tc>
          <w:tcPr>
            <w:tcW w:w="3258" w:type="dxa"/>
          </w:tcPr>
          <w:p w14:paraId="5F2166BD" w14:textId="77777777" w:rsidR="00D70BD1" w:rsidRDefault="00750BC4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Baseline re: health, food access, f/v consumption, shopping habits, awareness of food assistance &amp; markets, demographics</w:t>
            </w:r>
          </w:p>
        </w:tc>
      </w:tr>
      <w:tr w:rsidR="00D70BD1" w14:paraId="55C50C2F" w14:textId="77777777" w:rsidTr="007825CE">
        <w:tc>
          <w:tcPr>
            <w:tcW w:w="2635" w:type="dxa"/>
          </w:tcPr>
          <w:p w14:paraId="0A1E26ED" w14:textId="77777777" w:rsidR="00D70BD1" w:rsidRDefault="00750BC4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PfH Post-Survey</w:t>
            </w:r>
          </w:p>
        </w:tc>
        <w:tc>
          <w:tcPr>
            <w:tcW w:w="2635" w:type="dxa"/>
          </w:tcPr>
          <w:p w14:paraId="41C7F7DD" w14:textId="77777777" w:rsidR="00D70BD1" w:rsidRDefault="00750BC4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Patient Post-Survey form</w:t>
            </w:r>
          </w:p>
        </w:tc>
        <w:tc>
          <w:tcPr>
            <w:tcW w:w="2455" w:type="dxa"/>
          </w:tcPr>
          <w:p w14:paraId="2F7CA1BE" w14:textId="77777777" w:rsidR="00D70BD1" w:rsidRDefault="00750BC4" w:rsidP="00750BC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Early November</w:t>
            </w:r>
          </w:p>
        </w:tc>
        <w:tc>
          <w:tcPr>
            <w:tcW w:w="2013" w:type="dxa"/>
          </w:tcPr>
          <w:p w14:paraId="5B55C24D" w14:textId="77777777" w:rsidR="00D70BD1" w:rsidRDefault="00750BC4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 clinic?  Over phone by clinic staff?  </w:t>
            </w:r>
          </w:p>
        </w:tc>
        <w:tc>
          <w:tcPr>
            <w:tcW w:w="3258" w:type="dxa"/>
          </w:tcPr>
          <w:p w14:paraId="040BDA5E" w14:textId="77777777" w:rsidR="00D70BD1" w:rsidRDefault="00750BC4" w:rsidP="00750BC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Change in health, food access, f/v consumption, shopping habits b/c of PfH, plus assessment of experience at markets, intent to return, and factors in program that were most effective </w:t>
            </w:r>
          </w:p>
        </w:tc>
      </w:tr>
      <w:tr w:rsidR="00D70BD1" w14:paraId="138B7D02" w14:textId="77777777" w:rsidTr="007825CE">
        <w:tc>
          <w:tcPr>
            <w:tcW w:w="2635" w:type="dxa"/>
          </w:tcPr>
          <w:p w14:paraId="03713E38" w14:textId="77777777" w:rsidR="00D70BD1" w:rsidRDefault="00750BC4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PfH Clinic and Partner Staff Pre-Survey</w:t>
            </w:r>
          </w:p>
        </w:tc>
        <w:tc>
          <w:tcPr>
            <w:tcW w:w="2635" w:type="dxa"/>
          </w:tcPr>
          <w:p w14:paraId="2A6CA756" w14:textId="77777777" w:rsidR="00D70BD1" w:rsidRDefault="00750BC4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Clinic and Partner Pre-Survey form, to go to all clinic staff who interface with patience</w:t>
            </w:r>
          </w:p>
        </w:tc>
        <w:tc>
          <w:tcPr>
            <w:tcW w:w="2455" w:type="dxa"/>
          </w:tcPr>
          <w:p w14:paraId="255C628A" w14:textId="77777777" w:rsidR="00D70BD1" w:rsidRDefault="00750BC4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Immediately</w:t>
            </w:r>
          </w:p>
        </w:tc>
        <w:tc>
          <w:tcPr>
            <w:tcW w:w="2013" w:type="dxa"/>
          </w:tcPr>
          <w:p w14:paraId="643D08DE" w14:textId="77777777" w:rsidR="00D70BD1" w:rsidRDefault="00750BC4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Clinic and Partners (United Way, Y, etc) can decide how to best distribute</w:t>
            </w:r>
          </w:p>
        </w:tc>
        <w:tc>
          <w:tcPr>
            <w:tcW w:w="3258" w:type="dxa"/>
          </w:tcPr>
          <w:p w14:paraId="148A2A75" w14:textId="77777777" w:rsidR="00D70BD1" w:rsidRDefault="00750BC4" w:rsidP="00750BC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Awareness of farmers market; personal utilization of farmers market; past practice of recommending farmers market to patients; assessment of support/materials staff anticipate needing to promote PfH</w:t>
            </w:r>
          </w:p>
        </w:tc>
      </w:tr>
      <w:tr w:rsidR="00750BC4" w14:paraId="106DEDA5" w14:textId="77777777" w:rsidTr="00750BC4">
        <w:tc>
          <w:tcPr>
            <w:tcW w:w="2635" w:type="dxa"/>
          </w:tcPr>
          <w:p w14:paraId="69477989" w14:textId="77777777" w:rsidR="00750BC4" w:rsidRDefault="00750BC4" w:rsidP="00750BC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PfH Clinic and Partner Staff Post-Survey</w:t>
            </w:r>
          </w:p>
        </w:tc>
        <w:tc>
          <w:tcPr>
            <w:tcW w:w="2635" w:type="dxa"/>
          </w:tcPr>
          <w:p w14:paraId="760E655E" w14:textId="77777777" w:rsidR="00750BC4" w:rsidRDefault="00750BC4" w:rsidP="00750BC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Clinic and Partner Post-Survey form, to go to all clinic staff who interface with patience</w:t>
            </w:r>
          </w:p>
        </w:tc>
        <w:tc>
          <w:tcPr>
            <w:tcW w:w="2455" w:type="dxa"/>
          </w:tcPr>
          <w:p w14:paraId="2153B6DE" w14:textId="77777777" w:rsidR="00750BC4" w:rsidRDefault="00750BC4" w:rsidP="00750BC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Late October</w:t>
            </w:r>
          </w:p>
        </w:tc>
        <w:tc>
          <w:tcPr>
            <w:tcW w:w="2013" w:type="dxa"/>
          </w:tcPr>
          <w:p w14:paraId="239B35E5" w14:textId="77777777" w:rsidR="00750BC4" w:rsidRDefault="00750BC4" w:rsidP="00750BC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Clinic and Partners (United Way, Y, etc) can decide how to best distribute</w:t>
            </w:r>
          </w:p>
        </w:tc>
        <w:tc>
          <w:tcPr>
            <w:tcW w:w="3258" w:type="dxa"/>
          </w:tcPr>
          <w:p w14:paraId="146F6477" w14:textId="77777777" w:rsidR="00750BC4" w:rsidRDefault="00750BC4" w:rsidP="00750BC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Change in awareness of farmers market; change in personal utilization of farmers market; practice in recommending farmers market to patients; assessment of future ways to improve or expand PfH; impression of PfH efficacy; perception of impact of PfH on other programs (e.g. DPP) and other way around</w:t>
            </w:r>
          </w:p>
        </w:tc>
      </w:tr>
      <w:tr w:rsidR="00D70BD1" w14:paraId="183B48D5" w14:textId="77777777" w:rsidTr="007825CE">
        <w:tc>
          <w:tcPr>
            <w:tcW w:w="2635" w:type="dxa"/>
          </w:tcPr>
          <w:p w14:paraId="64428032" w14:textId="77777777" w:rsidR="00D70BD1" w:rsidRDefault="00082E81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Farmers Market Awareness Survey</w:t>
            </w:r>
          </w:p>
        </w:tc>
        <w:tc>
          <w:tcPr>
            <w:tcW w:w="2635" w:type="dxa"/>
          </w:tcPr>
          <w:p w14:paraId="663CF346" w14:textId="77777777" w:rsidR="00D70BD1" w:rsidRDefault="00082E81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Farmers Market Awareness Survey (this quick survey also serves as an educational tool to inform people about the market)</w:t>
            </w:r>
          </w:p>
        </w:tc>
        <w:tc>
          <w:tcPr>
            <w:tcW w:w="2455" w:type="dxa"/>
          </w:tcPr>
          <w:p w14:paraId="4B4DC0F6" w14:textId="77777777" w:rsidR="00D70BD1" w:rsidRDefault="00082E81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Ongoing</w:t>
            </w:r>
          </w:p>
        </w:tc>
        <w:tc>
          <w:tcPr>
            <w:tcW w:w="2013" w:type="dxa"/>
          </w:tcPr>
          <w:p w14:paraId="00F072DD" w14:textId="77777777" w:rsidR="00D70BD1" w:rsidRDefault="00082E81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Clinics &amp; partners brainstorm appropriate settings – with DPP enrollees?</w:t>
            </w:r>
          </w:p>
        </w:tc>
        <w:tc>
          <w:tcPr>
            <w:tcW w:w="3258" w:type="dxa"/>
          </w:tcPr>
          <w:p w14:paraId="2373456E" w14:textId="76E65C8C" w:rsidR="00D70BD1" w:rsidRDefault="0041059D" w:rsidP="0041059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Community</w:t>
            </w:r>
            <w:r w:rsidR="00082E81">
              <w:rPr>
                <w:rFonts w:ascii="Garamond" w:hAnsi="Garamond"/>
              </w:rPr>
              <w:t xml:space="preserve"> awareness of and participation in the farmers market by people other than customers on-site (they must be aware!); </w:t>
            </w:r>
            <w:r>
              <w:rPr>
                <w:rFonts w:ascii="Garamond" w:hAnsi="Garamond"/>
              </w:rPr>
              <w:t xml:space="preserve">Identify barriers to attending market; </w:t>
            </w:r>
            <w:r w:rsidR="00082E81">
              <w:rPr>
                <w:rFonts w:ascii="Garamond" w:hAnsi="Garamond"/>
              </w:rPr>
              <w:t>Awareness of food assistance accepted at market</w:t>
            </w:r>
          </w:p>
        </w:tc>
      </w:tr>
      <w:tr w:rsidR="00082E81" w14:paraId="6C32AAB8" w14:textId="77777777" w:rsidTr="007825CE">
        <w:tc>
          <w:tcPr>
            <w:tcW w:w="2635" w:type="dxa"/>
          </w:tcPr>
          <w:p w14:paraId="3565D761" w14:textId="7E796569" w:rsidR="00082E81" w:rsidRDefault="0041059D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Customer Survey</w:t>
            </w:r>
          </w:p>
        </w:tc>
        <w:tc>
          <w:tcPr>
            <w:tcW w:w="2635" w:type="dxa"/>
          </w:tcPr>
          <w:p w14:paraId="1F0464B7" w14:textId="374D3DC6" w:rsidR="00082E81" w:rsidRDefault="0041059D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Dot voting on-site at market; could use ball voting (3-D dot voting with colored balls in clear containers)/</w:t>
            </w:r>
          </w:p>
        </w:tc>
        <w:tc>
          <w:tcPr>
            <w:tcW w:w="2455" w:type="dxa"/>
          </w:tcPr>
          <w:p w14:paraId="069892C1" w14:textId="2FFC8F8F" w:rsidR="00082E81" w:rsidRDefault="0041059D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Either a few weeks with all questions (lots of flip charts); or a few questions each week between now and end of season—so people get used to always answering a few things when they come</w:t>
            </w:r>
          </w:p>
        </w:tc>
        <w:tc>
          <w:tcPr>
            <w:tcW w:w="2013" w:type="dxa"/>
          </w:tcPr>
          <w:p w14:paraId="2642BA86" w14:textId="258EBAF8" w:rsidR="00082E81" w:rsidRDefault="0041059D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Stacie facilitate with help of Growing Hope (if doing intensive survey); this could also be done with MIFMA via Rapid Market Assessment, in which case dot voting could be supplemental</w:t>
            </w:r>
          </w:p>
        </w:tc>
        <w:tc>
          <w:tcPr>
            <w:tcW w:w="3258" w:type="dxa"/>
          </w:tcPr>
          <w:p w14:paraId="3ABD8683" w14:textId="77777777" w:rsidR="00082E81" w:rsidRDefault="0041059D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TBD what is most important to learn from all customers (Stacie, et al can mark up GH Customer Survey), but will include:</w:t>
            </w:r>
          </w:p>
          <w:p w14:paraId="033AFABC" w14:textId="22E9D705" w:rsidR="0041059D" w:rsidRDefault="0041059D" w:rsidP="004105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they first heard about the market</w:t>
            </w:r>
          </w:p>
          <w:p w14:paraId="7FEAB0D2" w14:textId="77777777" w:rsidR="0041059D" w:rsidRDefault="0041059D" w:rsidP="004105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Frequency of shopping</w:t>
            </w:r>
          </w:p>
          <w:p w14:paraId="080AE7B6" w14:textId="77777777" w:rsidR="0041059D" w:rsidRDefault="0041059D" w:rsidP="004105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Average amount spent</w:t>
            </w:r>
          </w:p>
          <w:p w14:paraId="3BCEB9DE" w14:textId="77777777" w:rsidR="0041059D" w:rsidRDefault="0041059D" w:rsidP="004105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Most important market factors for customers</w:t>
            </w:r>
          </w:p>
          <w:p w14:paraId="04BD6014" w14:textId="77777777" w:rsidR="0041059D" w:rsidRDefault="0041059D" w:rsidP="004105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Awareness of food assistance</w:t>
            </w:r>
          </w:p>
          <w:p w14:paraId="6E96E0A6" w14:textId="77777777" w:rsidR="0041059D" w:rsidRDefault="0041059D" w:rsidP="004105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Change in number and variety of f/v because of the market</w:t>
            </w:r>
          </w:p>
          <w:p w14:paraId="68FA7A4C" w14:textId="6B2CF8AF" w:rsidR="0041059D" w:rsidRPr="0041059D" w:rsidRDefault="0041059D" w:rsidP="004105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Impact of visiting market on shopping at nearby establishments</w:t>
            </w:r>
          </w:p>
        </w:tc>
      </w:tr>
      <w:tr w:rsidR="0041059D" w14:paraId="3E261924" w14:textId="77777777" w:rsidTr="007825CE">
        <w:tc>
          <w:tcPr>
            <w:tcW w:w="2635" w:type="dxa"/>
          </w:tcPr>
          <w:p w14:paraId="16904B71" w14:textId="569F4B26" w:rsidR="0041059D" w:rsidRDefault="0041059D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Vendor survey</w:t>
            </w:r>
          </w:p>
        </w:tc>
        <w:tc>
          <w:tcPr>
            <w:tcW w:w="2635" w:type="dxa"/>
          </w:tcPr>
          <w:p w14:paraId="38AAF169" w14:textId="2E7AA583" w:rsidR="0041059D" w:rsidRDefault="00A96688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Vendor survey form</w:t>
            </w:r>
          </w:p>
        </w:tc>
        <w:tc>
          <w:tcPr>
            <w:tcW w:w="2455" w:type="dxa"/>
          </w:tcPr>
          <w:p w14:paraId="10FC2E4D" w14:textId="3812DF2D" w:rsidR="0041059D" w:rsidRDefault="0041059D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Early October/late September (depending on when vendors start to drop off</w:t>
            </w:r>
          </w:p>
        </w:tc>
        <w:tc>
          <w:tcPr>
            <w:tcW w:w="2013" w:type="dxa"/>
          </w:tcPr>
          <w:p w14:paraId="3588FBB1" w14:textId="47088A2E" w:rsidR="0041059D" w:rsidRDefault="0041059D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 distribute and collect</w:t>
            </w:r>
          </w:p>
        </w:tc>
        <w:tc>
          <w:tcPr>
            <w:tcW w:w="3258" w:type="dxa"/>
          </w:tcPr>
          <w:p w14:paraId="322C5820" w14:textId="77777777" w:rsidR="0041059D" w:rsidRDefault="00A96688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Stacie, et al can also edit down from GH Vendor Survey, but will definitely include:</w:t>
            </w:r>
          </w:p>
          <w:p w14:paraId="2AF1AF5F" w14:textId="77777777" w:rsidR="00A96688" w:rsidRDefault="00A96688" w:rsidP="00A9668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Perceived impact of PfH on sales, customer volume</w:t>
            </w:r>
          </w:p>
          <w:p w14:paraId="2BA4477D" w14:textId="26EF98A5" w:rsidR="00A96688" w:rsidRDefault="00A96688" w:rsidP="00A9668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Satisfaction with market conditions; ideas and recommended changes</w:t>
            </w:r>
          </w:p>
          <w:p w14:paraId="632C8639" w14:textId="50BFBD78" w:rsidR="00A96688" w:rsidRPr="00A96688" w:rsidRDefault="00A96688" w:rsidP="00A9668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Impact of market on their livelihood</w:t>
            </w:r>
          </w:p>
        </w:tc>
      </w:tr>
      <w:tr w:rsidR="00A96688" w14:paraId="6F3A5453" w14:textId="77777777" w:rsidTr="007825CE">
        <w:tc>
          <w:tcPr>
            <w:tcW w:w="2635" w:type="dxa"/>
          </w:tcPr>
          <w:p w14:paraId="52202A93" w14:textId="58574499" w:rsidR="00A96688" w:rsidRDefault="00A96688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Food Assistance Sales</w:t>
            </w:r>
          </w:p>
        </w:tc>
        <w:tc>
          <w:tcPr>
            <w:tcW w:w="2635" w:type="dxa"/>
          </w:tcPr>
          <w:p w14:paraId="370E32AD" w14:textId="0916CF79" w:rsidR="00A96688" w:rsidRDefault="00A96688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Weekly Food Assistance Distribution Log (Can likely use DUFB log)</w:t>
            </w:r>
          </w:p>
        </w:tc>
        <w:tc>
          <w:tcPr>
            <w:tcW w:w="2455" w:type="dxa"/>
          </w:tcPr>
          <w:p w14:paraId="36BAF88E" w14:textId="4B2217CB" w:rsidR="00A96688" w:rsidRDefault="00A96688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Ongoing</w:t>
            </w:r>
          </w:p>
        </w:tc>
        <w:tc>
          <w:tcPr>
            <w:tcW w:w="2013" w:type="dxa"/>
          </w:tcPr>
          <w:p w14:paraId="3DDE3408" w14:textId="1F869535" w:rsidR="00A96688" w:rsidRDefault="00A96688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Ed/Stacie/Stacie’s husband—using DUFB log </w:t>
            </w:r>
          </w:p>
        </w:tc>
        <w:tc>
          <w:tcPr>
            <w:tcW w:w="3258" w:type="dxa"/>
          </w:tcPr>
          <w:p w14:paraId="107EE596" w14:textId="75F7A17B" w:rsidR="00A96688" w:rsidRDefault="00A96688" w:rsidP="00A9668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Number of Sales; Total dollar value of sales; Number of first time SNAP users at the market; Change in sales as a result of PfH</w:t>
            </w:r>
          </w:p>
        </w:tc>
      </w:tr>
      <w:tr w:rsidR="00E2726E" w14:paraId="2CFCB8D6" w14:textId="77777777" w:rsidTr="007825CE">
        <w:tc>
          <w:tcPr>
            <w:tcW w:w="2635" w:type="dxa"/>
          </w:tcPr>
          <w:p w14:paraId="612F4333" w14:textId="764BBAA9" w:rsidR="00E2726E" w:rsidRDefault="00E2726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Photos</w:t>
            </w:r>
          </w:p>
        </w:tc>
        <w:tc>
          <w:tcPr>
            <w:tcW w:w="2635" w:type="dxa"/>
          </w:tcPr>
          <w:p w14:paraId="6D31E03B" w14:textId="3AD1B628" w:rsidR="00E2726E" w:rsidRDefault="00E2726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Photos of PfH in action at the market (A market is a public spaee so taking photos without releases is generally fine, but it is courteous to ask PfH participants first)</w:t>
            </w:r>
          </w:p>
        </w:tc>
        <w:tc>
          <w:tcPr>
            <w:tcW w:w="2455" w:type="dxa"/>
          </w:tcPr>
          <w:p w14:paraId="2D741612" w14:textId="1EF0692F" w:rsidR="00E2726E" w:rsidRDefault="00E2726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Always!</w:t>
            </w:r>
          </w:p>
        </w:tc>
        <w:tc>
          <w:tcPr>
            <w:tcW w:w="2013" w:type="dxa"/>
          </w:tcPr>
          <w:p w14:paraId="597F73E6" w14:textId="782280AE" w:rsidR="00E2726E" w:rsidRDefault="00E2726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Ask volunteer?  GH will take photos during site visits as well</w:t>
            </w:r>
          </w:p>
        </w:tc>
        <w:tc>
          <w:tcPr>
            <w:tcW w:w="3258" w:type="dxa"/>
          </w:tcPr>
          <w:p w14:paraId="098E23B6" w14:textId="7F109930" w:rsidR="00E2726E" w:rsidRDefault="00E2726E" w:rsidP="00A9668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Documents the process of how it works (valuable as a training and promotion tool) and to put faces to names</w:t>
            </w:r>
          </w:p>
        </w:tc>
      </w:tr>
      <w:tr w:rsidR="00E2726E" w14:paraId="0E1D7277" w14:textId="77777777" w:rsidTr="007825CE">
        <w:tc>
          <w:tcPr>
            <w:tcW w:w="2635" w:type="dxa"/>
          </w:tcPr>
          <w:p w14:paraId="69657E93" w14:textId="1ABD085D" w:rsidR="00E2726E" w:rsidRDefault="00E2726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Quotes</w:t>
            </w:r>
          </w:p>
        </w:tc>
        <w:tc>
          <w:tcPr>
            <w:tcW w:w="2635" w:type="dxa"/>
          </w:tcPr>
          <w:p w14:paraId="75B5BB9E" w14:textId="31D142F8" w:rsidR="00E2726E" w:rsidRDefault="00E2726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“What they said” form</w:t>
            </w:r>
          </w:p>
        </w:tc>
        <w:tc>
          <w:tcPr>
            <w:tcW w:w="2455" w:type="dxa"/>
          </w:tcPr>
          <w:p w14:paraId="57EBA404" w14:textId="1D004439" w:rsidR="00E2726E" w:rsidRDefault="00F2595D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Ongoing</w:t>
            </w:r>
          </w:p>
        </w:tc>
        <w:tc>
          <w:tcPr>
            <w:tcW w:w="2013" w:type="dxa"/>
          </w:tcPr>
          <w:p w14:paraId="060024F8" w14:textId="4402DFF6" w:rsidR="00E2726E" w:rsidRDefault="00E2726E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Clinic Staff, Partners, Market staff</w:t>
            </w:r>
          </w:p>
        </w:tc>
        <w:tc>
          <w:tcPr>
            <w:tcW w:w="3258" w:type="dxa"/>
          </w:tcPr>
          <w:p w14:paraId="4E96E6B4" w14:textId="478A2F87" w:rsidR="00E2726E" w:rsidRDefault="00F2595D" w:rsidP="00A9668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Qualitative data and impact</w:t>
            </w:r>
          </w:p>
        </w:tc>
      </w:tr>
      <w:tr w:rsidR="00F2595D" w14:paraId="26D8285E" w14:textId="77777777" w:rsidTr="007825CE">
        <w:tc>
          <w:tcPr>
            <w:tcW w:w="2635" w:type="dxa"/>
          </w:tcPr>
          <w:p w14:paraId="7647B8F1" w14:textId="4D91785D" w:rsidR="00F2595D" w:rsidRDefault="00F2595D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Interviews?</w:t>
            </w:r>
          </w:p>
        </w:tc>
        <w:tc>
          <w:tcPr>
            <w:tcW w:w="2635" w:type="dxa"/>
          </w:tcPr>
          <w:p w14:paraId="388EDEFA" w14:textId="60C355EF" w:rsidR="00F2595D" w:rsidRDefault="00F2595D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With clinic staff?  Patients?  Vendors?</w:t>
            </w:r>
          </w:p>
        </w:tc>
        <w:tc>
          <w:tcPr>
            <w:tcW w:w="2455" w:type="dxa"/>
          </w:tcPr>
          <w:p w14:paraId="5C0CE62C" w14:textId="40C49CF9" w:rsidR="00F2595D" w:rsidRDefault="00F2595D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Near end of program</w:t>
            </w:r>
          </w:p>
        </w:tc>
        <w:tc>
          <w:tcPr>
            <w:tcW w:w="2013" w:type="dxa"/>
          </w:tcPr>
          <w:p w14:paraId="75E71F84" w14:textId="51C6CC8E" w:rsidR="00F2595D" w:rsidRDefault="00F2595D" w:rsidP="00D70BD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??</w:t>
            </w:r>
          </w:p>
        </w:tc>
        <w:tc>
          <w:tcPr>
            <w:tcW w:w="3258" w:type="dxa"/>
          </w:tcPr>
          <w:p w14:paraId="3EB0FC9F" w14:textId="52A24418" w:rsidR="00F2595D" w:rsidRDefault="00F2595D" w:rsidP="00A9668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Insight into how program worked and suggested changes</w:t>
            </w:r>
          </w:p>
        </w:tc>
      </w:tr>
      <w:tr w:rsidR="00F2595D" w14:paraId="4D708812" w14:textId="77777777" w:rsidTr="00EA4830">
        <w:tc>
          <w:tcPr>
            <w:tcW w:w="2635" w:type="dxa"/>
          </w:tcPr>
          <w:p w14:paraId="59C73E26" w14:textId="77777777" w:rsidR="00F2595D" w:rsidRDefault="00F2595D" w:rsidP="00EA483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Outcome summary</w:t>
            </w:r>
          </w:p>
        </w:tc>
        <w:tc>
          <w:tcPr>
            <w:tcW w:w="2635" w:type="dxa"/>
          </w:tcPr>
          <w:p w14:paraId="4BA823DA" w14:textId="77777777" w:rsidR="00F2595D" w:rsidRDefault="00F2595D" w:rsidP="00EA483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Final report that can be distributed to partners and community</w:t>
            </w:r>
          </w:p>
        </w:tc>
        <w:tc>
          <w:tcPr>
            <w:tcW w:w="2455" w:type="dxa"/>
          </w:tcPr>
          <w:p w14:paraId="0C743931" w14:textId="77777777" w:rsidR="00F2595D" w:rsidRDefault="00F2595D" w:rsidP="00EA483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Late November; early December</w:t>
            </w:r>
          </w:p>
        </w:tc>
        <w:tc>
          <w:tcPr>
            <w:tcW w:w="2013" w:type="dxa"/>
          </w:tcPr>
          <w:p w14:paraId="61C2BBDB" w14:textId="77777777" w:rsidR="00F2595D" w:rsidRDefault="00F2595D" w:rsidP="00EA483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Growing Hope to write and make ppt version of</w:t>
            </w:r>
          </w:p>
        </w:tc>
        <w:tc>
          <w:tcPr>
            <w:tcW w:w="3258" w:type="dxa"/>
          </w:tcPr>
          <w:p w14:paraId="06AD9D19" w14:textId="77777777" w:rsidR="00F2595D" w:rsidRDefault="00F2595D" w:rsidP="00EA483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Summary of all evaluative results</w:t>
            </w:r>
          </w:p>
        </w:tc>
      </w:tr>
    </w:tbl>
    <w:p w14:paraId="462579BF" w14:textId="77777777" w:rsidR="00CC7988" w:rsidRDefault="00CC7988" w:rsidP="00A96688">
      <w:pPr>
        <w:rPr>
          <w:rFonts w:ascii="Garamond" w:hAnsi="Garamond"/>
          <w:b/>
        </w:rPr>
      </w:pPr>
    </w:p>
    <w:p w14:paraId="45EDB7C1" w14:textId="77777777" w:rsidR="00E2726E" w:rsidRDefault="00E2726E" w:rsidP="00A96688">
      <w:pPr>
        <w:rPr>
          <w:rFonts w:ascii="Garamond" w:hAnsi="Garamond"/>
          <w:b/>
        </w:rPr>
      </w:pPr>
    </w:p>
    <w:p w14:paraId="2E4473A9" w14:textId="4A5BE995" w:rsidR="008B0F2C" w:rsidRDefault="008B0F2C" w:rsidP="00A96688">
      <w:pPr>
        <w:rPr>
          <w:rFonts w:ascii="Garamond" w:hAnsi="Garamond"/>
          <w:b/>
        </w:rPr>
      </w:pPr>
      <w:r>
        <w:rPr>
          <w:rFonts w:ascii="Garamond" w:hAnsi="Garamond"/>
          <w:b/>
        </w:rPr>
        <w:t>Timetable of Evaluation (with setting)</w:t>
      </w:r>
    </w:p>
    <w:p w14:paraId="1315E76D" w14:textId="77777777" w:rsidR="008B0F2C" w:rsidRDefault="008B0F2C" w:rsidP="00A96688">
      <w:pPr>
        <w:rPr>
          <w:rFonts w:ascii="Garamond" w:hAnsi="Garamond"/>
          <w:b/>
        </w:rPr>
      </w:pPr>
    </w:p>
    <w:p w14:paraId="4BAF3D5B" w14:textId="27E22031" w:rsidR="00E2726E" w:rsidRDefault="00E2726E" w:rsidP="00A96688">
      <w:pPr>
        <w:rPr>
          <w:rFonts w:ascii="Garamond" w:hAnsi="Garamond"/>
          <w:b/>
        </w:rPr>
      </w:pPr>
      <w:r>
        <w:rPr>
          <w:rFonts w:ascii="Garamond" w:hAnsi="Garamond"/>
          <w:b/>
        </w:rPr>
        <w:t>Weekly Collection of:</w:t>
      </w:r>
    </w:p>
    <w:p w14:paraId="162516A3" w14:textId="0A70A3A3" w:rsidR="00E2726E" w:rsidRPr="00E2726E" w:rsidRDefault="00E2726E" w:rsidP="00E2726E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Customer counts</w:t>
      </w:r>
      <w:r w:rsidR="008B0F2C">
        <w:rPr>
          <w:rFonts w:ascii="Garamond" w:hAnsi="Garamond"/>
        </w:rPr>
        <w:t xml:space="preserve"> (at market)</w:t>
      </w:r>
    </w:p>
    <w:p w14:paraId="7D1B4939" w14:textId="6155D3E3" w:rsidR="00E2726E" w:rsidRPr="00E2726E" w:rsidRDefault="00E2726E" w:rsidP="00E2726E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Vendor numbers by product type</w:t>
      </w:r>
      <w:r w:rsidR="008B0F2C">
        <w:rPr>
          <w:rFonts w:ascii="Garamond" w:hAnsi="Garamond"/>
        </w:rPr>
        <w:t xml:space="preserve">  (at market)</w:t>
      </w:r>
    </w:p>
    <w:p w14:paraId="784C57E5" w14:textId="26BB4D52" w:rsidR="00E2726E" w:rsidRPr="00E2726E" w:rsidRDefault="00E2726E" w:rsidP="00E2726E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Vendor sales by payment type</w:t>
      </w:r>
      <w:r w:rsidR="008B0F2C">
        <w:rPr>
          <w:rFonts w:ascii="Garamond" w:hAnsi="Garamond"/>
        </w:rPr>
        <w:t xml:space="preserve">  (at market)</w:t>
      </w:r>
    </w:p>
    <w:p w14:paraId="284B897D" w14:textId="4E228F0B" w:rsidR="00E2726E" w:rsidRDefault="00F2595D" w:rsidP="00E2726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F2595D">
        <w:rPr>
          <w:rFonts w:ascii="Garamond" w:hAnsi="Garamond"/>
        </w:rPr>
        <w:t>Food Assistance distributions</w:t>
      </w:r>
      <w:r w:rsidR="008B0F2C">
        <w:rPr>
          <w:rFonts w:ascii="Garamond" w:hAnsi="Garamond"/>
        </w:rPr>
        <w:t xml:space="preserve">   (at market)</w:t>
      </w:r>
    </w:p>
    <w:p w14:paraId="366FBC36" w14:textId="276A261A" w:rsidR="00F2595D" w:rsidRDefault="00F2595D" w:rsidP="00F2595D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Photos</w:t>
      </w:r>
      <w:r w:rsidRPr="00F2595D">
        <w:rPr>
          <w:rFonts w:ascii="Garamond" w:hAnsi="Garamond"/>
        </w:rPr>
        <w:t xml:space="preserve"> &amp; Quotes</w:t>
      </w:r>
      <w:r w:rsidR="008B0F2C">
        <w:rPr>
          <w:rFonts w:ascii="Garamond" w:hAnsi="Garamond"/>
        </w:rPr>
        <w:t xml:space="preserve">  (at market)</w:t>
      </w:r>
    </w:p>
    <w:p w14:paraId="100D62C0" w14:textId="77777777" w:rsidR="008B0F2C" w:rsidRDefault="008B0F2C" w:rsidP="00F2595D">
      <w:pPr>
        <w:rPr>
          <w:rFonts w:ascii="Garamond" w:hAnsi="Garamond"/>
        </w:rPr>
      </w:pPr>
    </w:p>
    <w:p w14:paraId="06CB6715" w14:textId="216BECA4" w:rsidR="00F2595D" w:rsidRPr="00F2595D" w:rsidRDefault="00F2595D" w:rsidP="00F2595D">
      <w:pPr>
        <w:rPr>
          <w:rFonts w:ascii="Garamond" w:hAnsi="Garamond"/>
          <w:b/>
        </w:rPr>
      </w:pPr>
      <w:r w:rsidRPr="00F2595D">
        <w:rPr>
          <w:rFonts w:ascii="Garamond" w:hAnsi="Garamond"/>
          <w:b/>
        </w:rPr>
        <w:t>Periodic Collection of:</w:t>
      </w:r>
    </w:p>
    <w:p w14:paraId="6C921313" w14:textId="3AF2AA00" w:rsidR="008B0F2C" w:rsidRDefault="008B0F2C" w:rsidP="00F2595D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Farmers Market Awareness Surveys (clinic, partner sites, community settings)</w:t>
      </w:r>
    </w:p>
    <w:p w14:paraId="443E345F" w14:textId="431CE0AE" w:rsidR="00F2595D" w:rsidRDefault="00F2595D" w:rsidP="00F2595D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Customer input via dot surveys</w:t>
      </w:r>
      <w:r w:rsidR="008B0F2C">
        <w:rPr>
          <w:rFonts w:ascii="Garamond" w:hAnsi="Garamond"/>
        </w:rPr>
        <w:t xml:space="preserve"> (at market)</w:t>
      </w:r>
    </w:p>
    <w:p w14:paraId="3E189ECB" w14:textId="341C61CC" w:rsidR="00F2595D" w:rsidRPr="00F2595D" w:rsidRDefault="00F2595D" w:rsidP="00F2595D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Interviews?</w:t>
      </w:r>
    </w:p>
    <w:p w14:paraId="44621809" w14:textId="77777777" w:rsidR="00F2595D" w:rsidRDefault="00F2595D" w:rsidP="00F2595D">
      <w:pPr>
        <w:rPr>
          <w:rFonts w:ascii="Garamond" w:hAnsi="Garamond"/>
        </w:rPr>
      </w:pPr>
    </w:p>
    <w:p w14:paraId="65407167" w14:textId="275BC619" w:rsidR="00F2595D" w:rsidRDefault="00F2595D" w:rsidP="00F2595D">
      <w:pPr>
        <w:rPr>
          <w:rFonts w:ascii="Garamond" w:hAnsi="Garamond"/>
          <w:b/>
        </w:rPr>
      </w:pPr>
      <w:r w:rsidRPr="00F2595D">
        <w:rPr>
          <w:rFonts w:ascii="Garamond" w:hAnsi="Garamond"/>
          <w:b/>
        </w:rPr>
        <w:t xml:space="preserve">One-Time </w:t>
      </w:r>
    </w:p>
    <w:p w14:paraId="45E44E19" w14:textId="42EC7547" w:rsidR="008B0F2C" w:rsidRPr="008B0F2C" w:rsidRDefault="008B0F2C" w:rsidP="008B0F2C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8B0F2C">
        <w:rPr>
          <w:rFonts w:ascii="Garamond" w:hAnsi="Garamond"/>
        </w:rPr>
        <w:t>Customer surveys/Rapid Market Assessment</w:t>
      </w:r>
      <w:r>
        <w:rPr>
          <w:rFonts w:ascii="Garamond" w:hAnsi="Garamond"/>
        </w:rPr>
        <w:t xml:space="preserve"> (at market)</w:t>
      </w:r>
    </w:p>
    <w:p w14:paraId="7B04280E" w14:textId="62F743AF" w:rsidR="008B0F2C" w:rsidRPr="008B0F2C" w:rsidRDefault="008B0F2C" w:rsidP="008B0F2C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8B0F2C">
        <w:rPr>
          <w:rFonts w:ascii="Garamond" w:hAnsi="Garamond"/>
        </w:rPr>
        <w:t>Vendor Surveys</w:t>
      </w:r>
      <w:r>
        <w:rPr>
          <w:rFonts w:ascii="Garamond" w:hAnsi="Garamond"/>
        </w:rPr>
        <w:t xml:space="preserve"> (at market)</w:t>
      </w:r>
    </w:p>
    <w:p w14:paraId="2B8017F1" w14:textId="232BD0D5" w:rsidR="008B0F2C" w:rsidRPr="008B0F2C" w:rsidRDefault="008B0F2C" w:rsidP="008B0F2C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8B0F2C">
        <w:rPr>
          <w:rFonts w:ascii="Garamond" w:hAnsi="Garamond"/>
        </w:rPr>
        <w:t>Clinic and Partner Pre- and Post-Survey</w:t>
      </w:r>
      <w:r>
        <w:rPr>
          <w:rFonts w:ascii="Garamond" w:hAnsi="Garamond"/>
        </w:rPr>
        <w:t xml:space="preserve"> (clinic and partner sites)</w:t>
      </w:r>
    </w:p>
    <w:p w14:paraId="1F39D93D" w14:textId="449F0266" w:rsidR="008B0F2C" w:rsidRDefault="008B0F2C" w:rsidP="008B0F2C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8B0F2C">
        <w:rPr>
          <w:rFonts w:ascii="Garamond" w:hAnsi="Garamond"/>
        </w:rPr>
        <w:t>Patient Pre- and Post-Survey (</w:t>
      </w:r>
      <w:r>
        <w:rPr>
          <w:rFonts w:ascii="Garamond" w:hAnsi="Garamond"/>
        </w:rPr>
        <w:t>clinic setting, possible over phone)</w:t>
      </w:r>
    </w:p>
    <w:p w14:paraId="045C036E" w14:textId="1581D1BF" w:rsidR="008B0F2C" w:rsidRPr="008B0F2C" w:rsidRDefault="008B0F2C" w:rsidP="008B0F2C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Outcome Summary (off-site)</w:t>
      </w:r>
    </w:p>
    <w:sectPr w:rsidR="008B0F2C" w:rsidRPr="008B0F2C" w:rsidSect="00D70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29ECD" w14:textId="77777777" w:rsidR="00EA4830" w:rsidRDefault="00EA4830" w:rsidP="00CC7988">
      <w:r>
        <w:separator/>
      </w:r>
    </w:p>
  </w:endnote>
  <w:endnote w:type="continuationSeparator" w:id="0">
    <w:p w14:paraId="0AC70C0A" w14:textId="77777777" w:rsidR="00EA4830" w:rsidRDefault="00EA4830" w:rsidP="00CC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C308D" w14:textId="77777777" w:rsidR="00EA4830" w:rsidRDefault="00EA48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C3DC5" w14:textId="77777777" w:rsidR="00EA4830" w:rsidRPr="00CC7988" w:rsidRDefault="00EA4830" w:rsidP="00CC7988">
    <w:pPr>
      <w:pStyle w:val="Footer"/>
      <w:jc w:val="center"/>
      <w:rPr>
        <w:rFonts w:ascii="Garamond" w:hAnsi="Garamond"/>
      </w:rPr>
    </w:pPr>
    <w:r w:rsidRPr="00CC7988">
      <w:rPr>
        <w:rFonts w:ascii="Garamond" w:hAnsi="Garamond" w:cs="Times New Roman"/>
      </w:rPr>
      <w:t xml:space="preserve">Page </w:t>
    </w:r>
    <w:r w:rsidRPr="00CC7988">
      <w:rPr>
        <w:rFonts w:ascii="Garamond" w:hAnsi="Garamond" w:cs="Times New Roman"/>
      </w:rPr>
      <w:fldChar w:fldCharType="begin"/>
    </w:r>
    <w:r w:rsidRPr="00CC7988">
      <w:rPr>
        <w:rFonts w:ascii="Garamond" w:hAnsi="Garamond" w:cs="Times New Roman"/>
      </w:rPr>
      <w:instrText xml:space="preserve"> PAGE </w:instrText>
    </w:r>
    <w:r w:rsidRPr="00CC7988">
      <w:rPr>
        <w:rFonts w:ascii="Garamond" w:hAnsi="Garamond" w:cs="Times New Roman"/>
      </w:rPr>
      <w:fldChar w:fldCharType="separate"/>
    </w:r>
    <w:r w:rsidR="004367E3">
      <w:rPr>
        <w:rFonts w:ascii="Garamond" w:hAnsi="Garamond" w:cs="Times New Roman"/>
        <w:noProof/>
      </w:rPr>
      <w:t>1</w:t>
    </w:r>
    <w:r w:rsidRPr="00CC7988">
      <w:rPr>
        <w:rFonts w:ascii="Garamond" w:hAnsi="Garamond" w:cs="Times New Roman"/>
      </w:rPr>
      <w:fldChar w:fldCharType="end"/>
    </w:r>
    <w:r w:rsidRPr="00CC7988">
      <w:rPr>
        <w:rFonts w:ascii="Garamond" w:hAnsi="Garamond" w:cs="Times New Roman"/>
      </w:rPr>
      <w:t xml:space="preserve"> of </w:t>
    </w:r>
    <w:r w:rsidRPr="00CC7988">
      <w:rPr>
        <w:rFonts w:ascii="Garamond" w:hAnsi="Garamond" w:cs="Times New Roman"/>
      </w:rPr>
      <w:fldChar w:fldCharType="begin"/>
    </w:r>
    <w:r w:rsidRPr="00CC7988">
      <w:rPr>
        <w:rFonts w:ascii="Garamond" w:hAnsi="Garamond" w:cs="Times New Roman"/>
      </w:rPr>
      <w:instrText xml:space="preserve"> NUMPAGES </w:instrText>
    </w:r>
    <w:r w:rsidRPr="00CC7988">
      <w:rPr>
        <w:rFonts w:ascii="Garamond" w:hAnsi="Garamond" w:cs="Times New Roman"/>
      </w:rPr>
      <w:fldChar w:fldCharType="separate"/>
    </w:r>
    <w:r w:rsidR="004367E3">
      <w:rPr>
        <w:rFonts w:ascii="Garamond" w:hAnsi="Garamond" w:cs="Times New Roman"/>
        <w:noProof/>
      </w:rPr>
      <w:t>2</w:t>
    </w:r>
    <w:r w:rsidRPr="00CC7988">
      <w:rPr>
        <w:rFonts w:ascii="Garamond" w:hAnsi="Garamond" w:cs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A898D" w14:textId="77777777" w:rsidR="00EA4830" w:rsidRDefault="00EA48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C7DD0" w14:textId="77777777" w:rsidR="00EA4830" w:rsidRDefault="00EA4830" w:rsidP="00CC7988">
      <w:r>
        <w:separator/>
      </w:r>
    </w:p>
  </w:footnote>
  <w:footnote w:type="continuationSeparator" w:id="0">
    <w:p w14:paraId="55A3F3AB" w14:textId="77777777" w:rsidR="00EA4830" w:rsidRDefault="00EA4830" w:rsidP="00CC79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BCD9" w14:textId="64BFEF85" w:rsidR="00EA4830" w:rsidRDefault="00EA48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E00D" w14:textId="16F58A1B" w:rsidR="00EA4830" w:rsidRDefault="00EA48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6A30" w14:textId="3254A69F" w:rsidR="00EA4830" w:rsidRDefault="00EA48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D7F"/>
    <w:multiLevelType w:val="hybridMultilevel"/>
    <w:tmpl w:val="0CF6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0F96"/>
    <w:multiLevelType w:val="hybridMultilevel"/>
    <w:tmpl w:val="3ED6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1853"/>
    <w:multiLevelType w:val="hybridMultilevel"/>
    <w:tmpl w:val="B02A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A0EA2"/>
    <w:multiLevelType w:val="hybridMultilevel"/>
    <w:tmpl w:val="0D6A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40884"/>
    <w:multiLevelType w:val="hybridMultilevel"/>
    <w:tmpl w:val="B76E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88"/>
    <w:rsid w:val="00082E81"/>
    <w:rsid w:val="0041059D"/>
    <w:rsid w:val="004367E3"/>
    <w:rsid w:val="00573B93"/>
    <w:rsid w:val="00750BC4"/>
    <w:rsid w:val="007726DB"/>
    <w:rsid w:val="007825CE"/>
    <w:rsid w:val="007D7B5A"/>
    <w:rsid w:val="00860FA3"/>
    <w:rsid w:val="008B0F2C"/>
    <w:rsid w:val="00A46F27"/>
    <w:rsid w:val="00A96688"/>
    <w:rsid w:val="00C10D31"/>
    <w:rsid w:val="00CC7988"/>
    <w:rsid w:val="00D70BD1"/>
    <w:rsid w:val="00E2726E"/>
    <w:rsid w:val="00E61ECA"/>
    <w:rsid w:val="00EA4830"/>
    <w:rsid w:val="00F2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D46B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88"/>
  </w:style>
  <w:style w:type="paragraph" w:styleId="Footer">
    <w:name w:val="footer"/>
    <w:basedOn w:val="Normal"/>
    <w:link w:val="FooterChar"/>
    <w:uiPriority w:val="99"/>
    <w:unhideWhenUsed/>
    <w:rsid w:val="00CC7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88"/>
  </w:style>
  <w:style w:type="paragraph" w:customStyle="1" w:styleId="normal0">
    <w:name w:val="normal"/>
    <w:rsid w:val="00CC798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D70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88"/>
  </w:style>
  <w:style w:type="paragraph" w:styleId="Footer">
    <w:name w:val="footer"/>
    <w:basedOn w:val="Normal"/>
    <w:link w:val="FooterChar"/>
    <w:uiPriority w:val="99"/>
    <w:unhideWhenUsed/>
    <w:rsid w:val="00CC7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88"/>
  </w:style>
  <w:style w:type="paragraph" w:customStyle="1" w:styleId="normal0">
    <w:name w:val="normal"/>
    <w:rsid w:val="00CC798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D70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942</Words>
  <Characters>5371</Characters>
  <Application>Microsoft Macintosh Word</Application>
  <DocSecurity>0</DocSecurity>
  <Lines>44</Lines>
  <Paragraphs>12</Paragraphs>
  <ScaleCrop>false</ScaleCrop>
  <Company>Growing Hope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Maria Edmonds</dc:creator>
  <cp:keywords/>
  <dc:description/>
  <cp:lastModifiedBy>Amanda Maria Edmonds</cp:lastModifiedBy>
  <cp:revision>2</cp:revision>
  <dcterms:created xsi:type="dcterms:W3CDTF">2016-06-02T18:01:00Z</dcterms:created>
  <dcterms:modified xsi:type="dcterms:W3CDTF">2016-06-02T18:01:00Z</dcterms:modified>
</cp:coreProperties>
</file>